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4B3D55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ED0DD8">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ED0DD8">
        <w:rPr>
          <w:rFonts w:cs="Arial"/>
          <w:bCs/>
          <w:noProof w:val="0"/>
          <w:sz w:val="24"/>
          <w:szCs w:val="24"/>
        </w:rPr>
        <w:t>3</w:t>
      </w:r>
      <w:r w:rsidR="0026328C">
        <w:rPr>
          <w:rFonts w:cs="Arial"/>
          <w:bCs/>
          <w:noProof w:val="0"/>
          <w:sz w:val="24"/>
          <w:szCs w:val="24"/>
        </w:rPr>
        <w:t>0131</w:t>
      </w:r>
    </w:p>
    <w:bookmarkEnd w:id="0"/>
    <w:p w14:paraId="5669B020" w14:textId="3303046F" w:rsidR="004C654E" w:rsidRPr="004F4539" w:rsidRDefault="00ED0DD8" w:rsidP="004C654E">
      <w:pPr>
        <w:pStyle w:val="Header"/>
        <w:tabs>
          <w:tab w:val="left" w:pos="2410"/>
        </w:tabs>
        <w:rPr>
          <w:rFonts w:eastAsia="MS Mincho" w:cs="Arial"/>
          <w:sz w:val="24"/>
          <w:szCs w:val="24"/>
        </w:rPr>
      </w:pPr>
      <w:r w:rsidRPr="004F4539">
        <w:rPr>
          <w:rFonts w:eastAsia="MS Mincho" w:cs="Arial"/>
          <w:sz w:val="24"/>
          <w:szCs w:val="24"/>
        </w:rPr>
        <w:t>Athens, Greece</w:t>
      </w:r>
      <w:r w:rsidR="00E844E3" w:rsidRPr="004F4539">
        <w:rPr>
          <w:rFonts w:eastAsia="MS Mincho" w:cs="Arial"/>
          <w:sz w:val="24"/>
          <w:szCs w:val="24"/>
        </w:rPr>
        <w:t>, EU</w:t>
      </w:r>
      <w:r w:rsidR="00FC5FE8" w:rsidRPr="004F4539">
        <w:rPr>
          <w:rFonts w:eastAsia="MS Mincho" w:cs="Arial"/>
          <w:sz w:val="24"/>
          <w:szCs w:val="24"/>
        </w:rPr>
        <w:t xml:space="preserve">, </w:t>
      </w:r>
      <w:r w:rsidRPr="004F4539">
        <w:rPr>
          <w:rFonts w:eastAsia="MS Mincho" w:cs="Arial"/>
          <w:sz w:val="24"/>
          <w:szCs w:val="24"/>
        </w:rPr>
        <w:t>27 Feb – 3 Mar</w:t>
      </w:r>
      <w:r w:rsidR="005F10C3" w:rsidRPr="004F4539">
        <w:rPr>
          <w:rFonts w:eastAsia="MS Mincho" w:cs="Arial"/>
          <w:sz w:val="24"/>
          <w:szCs w:val="24"/>
        </w:rPr>
        <w:t xml:space="preserve"> 20</w:t>
      </w:r>
      <w:r w:rsidR="00FA4A45" w:rsidRPr="004F4539">
        <w:rPr>
          <w:rFonts w:eastAsia="MS Mincho" w:cs="Arial"/>
          <w:sz w:val="24"/>
          <w:szCs w:val="24"/>
        </w:rPr>
        <w:t>2</w:t>
      </w:r>
      <w:r w:rsidRPr="004F4539">
        <w:rPr>
          <w:rFonts w:eastAsia="MS Mincho" w:cs="Arial"/>
          <w:sz w:val="24"/>
          <w:szCs w:val="24"/>
        </w:rPr>
        <w:t>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B55F8D5"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844E3">
        <w:rPr>
          <w:rFonts w:ascii="Arial" w:hAnsi="Arial" w:cs="Arial"/>
          <w:b/>
          <w:bCs/>
          <w:sz w:val="24"/>
        </w:rPr>
        <w:t xml:space="preserve">The </w:t>
      </w:r>
      <w:r w:rsidR="006C0E2A">
        <w:rPr>
          <w:rFonts w:ascii="Arial" w:hAnsi="Arial" w:cs="Arial"/>
          <w:b/>
          <w:bCs/>
          <w:sz w:val="24"/>
        </w:rPr>
        <w:t xml:space="preserve">LBT </w:t>
      </w:r>
      <w:r w:rsidR="00E844E3">
        <w:rPr>
          <w:rFonts w:ascii="Arial" w:hAnsi="Arial" w:cs="Arial"/>
          <w:b/>
          <w:bCs/>
          <w:sz w:val="24"/>
        </w:rPr>
        <w:t>waiting time</w:t>
      </w:r>
      <w:r w:rsidR="00FB407E">
        <w:rPr>
          <w:rFonts w:ascii="Arial" w:hAnsi="Arial" w:cs="Arial"/>
          <w:b/>
          <w:bCs/>
          <w:sz w:val="24"/>
        </w:rPr>
        <w:t xml:space="preserve"> for </w:t>
      </w:r>
      <w:r w:rsidR="00E32FB8">
        <w:rPr>
          <w:rFonts w:ascii="Arial" w:hAnsi="Arial" w:cs="Arial"/>
          <w:b/>
          <w:bCs/>
          <w:sz w:val="24"/>
        </w:rPr>
        <w:t xml:space="preserve">correct </w:t>
      </w:r>
      <w:r w:rsidR="00FB407E">
        <w:rPr>
          <w:rFonts w:ascii="Arial" w:hAnsi="Arial" w:cs="Arial"/>
          <w:b/>
          <w:bCs/>
          <w:sz w:val="24"/>
        </w:rPr>
        <w:t>NR</w:t>
      </w:r>
      <w:r w:rsidR="002F43B3">
        <w:rPr>
          <w:rFonts w:ascii="Arial" w:hAnsi="Arial" w:cs="Arial"/>
          <w:b/>
          <w:bCs/>
          <w:sz w:val="24"/>
        </w:rPr>
        <w:t>-</w:t>
      </w:r>
      <w:r w:rsidR="00FB407E">
        <w:rPr>
          <w:rFonts w:ascii="Arial" w:hAnsi="Arial" w:cs="Arial"/>
          <w:b/>
          <w:bCs/>
          <w:sz w:val="24"/>
        </w:rPr>
        <w:t>U</w:t>
      </w:r>
      <w:r w:rsidR="00E844E3">
        <w:rPr>
          <w:rFonts w:ascii="Arial" w:hAnsi="Arial" w:cs="Arial"/>
          <w:b/>
          <w:bCs/>
          <w:sz w:val="24"/>
        </w:rPr>
        <w:t xml:space="preserve"> MRO</w:t>
      </w:r>
      <w:r w:rsidR="00E32FB8">
        <w:rPr>
          <w:rFonts w:ascii="Arial" w:hAnsi="Arial" w:cs="Arial"/>
          <w:b/>
          <w:bCs/>
          <w:sz w:val="24"/>
        </w:rPr>
        <w:t xml:space="preserve"> analysis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31799E12" w:rsidR="002F43B3" w:rsidRDefault="008824A0" w:rsidP="00D8552F">
      <w:bookmarkStart w:id="1" w:name="_Toc474247438"/>
      <w:r>
        <w:t>In context of MRO for NR-U, we proposed a</w:t>
      </w:r>
      <w:r w:rsidR="007C75EB">
        <w:t xml:space="preserve">t RAN3 #117 to enable the information about the </w:t>
      </w:r>
      <w:r w:rsidR="004F4539">
        <w:t xml:space="preserve">deferral of transmission of signalling messages </w:t>
      </w:r>
      <w:r>
        <w:t xml:space="preserve">during the mobility process due to the LBT feature, which was called </w:t>
      </w:r>
      <w:r w:rsidR="007C75EB">
        <w:t xml:space="preserve">waiting time [1]. At RAN3 #117-bis meeting, this was reminded, but the discussion focused on MLB enhancements. </w:t>
      </w:r>
      <w:r w:rsidR="00ED0DD8">
        <w:t xml:space="preserve">Then, at RAN3 #118, only an LS from RAN2 was addressed. </w:t>
      </w:r>
      <w:r w:rsidR="007C75EB">
        <w:t>In this paper, we remind the arguments originally presented at RAN3 #117.</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6C4C1F7B" w14:textId="21564AEB" w:rsidR="007C75EB" w:rsidRDefault="00BD227B" w:rsidP="007C75EB">
      <w:r>
        <w:t>This discussion is based on [1</w:t>
      </w:r>
      <w:proofErr w:type="gramStart"/>
      <w:r>
        <w:t>]</w:t>
      </w:r>
      <w:r w:rsidR="004F5D2D">
        <w:t>, but</w:t>
      </w:r>
      <w:proofErr w:type="gramEnd"/>
      <w:r w:rsidR="004F5D2D">
        <w:t xml:space="preserve"> shortened</w:t>
      </w:r>
      <w:r>
        <w:t>.</w:t>
      </w:r>
    </w:p>
    <w:p w14:paraId="11128D07" w14:textId="66C2E709" w:rsidR="00BD227B" w:rsidRDefault="00BD227B" w:rsidP="00BD227B">
      <w:r>
        <w:t xml:space="preserve">The discussion during Rel-17 SON/MDT work item revealed that </w:t>
      </w:r>
      <w:r w:rsidRPr="00216C14">
        <w:t>MRO</w:t>
      </w:r>
      <w:r w:rsidR="006D5F5D">
        <w:t xml:space="preserve">, which </w:t>
      </w:r>
      <w:r w:rsidR="000A037A">
        <w:t xml:space="preserve">optimizes the handover timing by </w:t>
      </w:r>
      <w:r w:rsidR="004F4539">
        <w:t xml:space="preserve">inferring </w:t>
      </w:r>
      <w:r w:rsidR="00D330E5">
        <w:t xml:space="preserve">MRO KPIs </w:t>
      </w:r>
      <w:r w:rsidR="00941B73">
        <w:t>/ counters like Too Late Handover, etc. from the RLF report</w:t>
      </w:r>
      <w:r w:rsidRPr="00216C14">
        <w:t xml:space="preserve"> cannot be adapted</w:t>
      </w:r>
      <w:r>
        <w:t xml:space="preserve"> in copy/paste manner</w:t>
      </w:r>
      <w:r w:rsidRPr="00216C14">
        <w:t xml:space="preserve"> to NR-U, since the handover timing triggered by measurement event</w:t>
      </w:r>
      <w:r>
        <w:t>s</w:t>
      </w:r>
      <w:r w:rsidRPr="00216C14">
        <w:t xml:space="preserve"> will be spoiled by </w:t>
      </w:r>
      <w:r>
        <w:t xml:space="preserve">the additional </w:t>
      </w:r>
      <w:r w:rsidRPr="00216C14">
        <w:t>wa</w:t>
      </w:r>
      <w:r>
        <w:t>i</w:t>
      </w:r>
      <w:r w:rsidRPr="00216C14">
        <w:t>ting time</w:t>
      </w:r>
      <w:r>
        <w:t xml:space="preserve"> caused by </w:t>
      </w:r>
      <w:r w:rsidRPr="00216C14">
        <w:t>LBT</w:t>
      </w:r>
      <w:r w:rsidR="004A360A">
        <w:t>.</w:t>
      </w:r>
      <w:r>
        <w:t xml:space="preserve"> </w:t>
      </w:r>
    </w:p>
    <w:p w14:paraId="0FB90250" w14:textId="098F6A21" w:rsidR="00BD227B" w:rsidRDefault="004A360A" w:rsidP="00BD227B">
      <w:r>
        <w:t>As demonstrated i</w:t>
      </w:r>
      <w:r w:rsidR="00BD227B">
        <w:t xml:space="preserve">n </w:t>
      </w:r>
      <w:r w:rsidR="00BD227B">
        <w:fldChar w:fldCharType="begin"/>
      </w:r>
      <w:r w:rsidR="00BD227B">
        <w:instrText xml:space="preserve"> REF _Ref78209067 \h </w:instrText>
      </w:r>
      <w:r w:rsidR="00BD227B">
        <w:fldChar w:fldCharType="separate"/>
      </w:r>
      <w:r w:rsidR="00BD227B">
        <w:t xml:space="preserve">Figure </w:t>
      </w:r>
      <w:r w:rsidR="00BD227B">
        <w:rPr>
          <w:noProof/>
        </w:rPr>
        <w:t>1</w:t>
      </w:r>
      <w:r w:rsidR="00BD227B">
        <w:fldChar w:fldCharType="end"/>
      </w:r>
      <w:r>
        <w:t xml:space="preserve"> from [1]</w:t>
      </w:r>
      <w:r w:rsidR="00BD227B">
        <w:t xml:space="preserve">, </w:t>
      </w:r>
      <w:r>
        <w:t xml:space="preserve">each RRC signalling message which needs to be exchanged between UE and network has to follow the LBT rule, i.e., the measurement event reporting is affected as well as </w:t>
      </w:r>
      <w:proofErr w:type="spellStart"/>
      <w:r>
        <w:t>RRCReconfiguration</w:t>
      </w:r>
      <w:proofErr w:type="spellEnd"/>
      <w:r>
        <w:t xml:space="preserve"> message for preparation, and the </w:t>
      </w:r>
      <w:r w:rsidR="003F283E">
        <w:t xml:space="preserve">handover execution where also both the uplink </w:t>
      </w:r>
      <w:r w:rsidR="003F283E" w:rsidRPr="003F283E">
        <w:t xml:space="preserve">RACH </w:t>
      </w:r>
      <w:r w:rsidR="003F283E">
        <w:t xml:space="preserve">message and the downlink RACH Response (RAR) message have to be deferred as long as medium is busy, and results in spoiling the timing of the mobility process. </w:t>
      </w:r>
      <w:r w:rsidR="003F283E" w:rsidRPr="003F283E">
        <w:t xml:space="preserve"> </w:t>
      </w:r>
    </w:p>
    <w:p w14:paraId="479A7674" w14:textId="77777777" w:rsidR="00BD227B" w:rsidRPr="00C70DDC" w:rsidRDefault="00BD227B" w:rsidP="00BD227B">
      <w:pPr>
        <w:rPr>
          <w:lang w:eastAsia="zh-CN"/>
        </w:rPr>
      </w:pPr>
      <w:r>
        <w:rPr>
          <w:noProof/>
          <w:lang w:eastAsia="zh-CN"/>
        </w:rPr>
        <mc:AlternateContent>
          <mc:Choice Requires="wpc">
            <w:drawing>
              <wp:inline distT="0" distB="0" distL="0" distR="0" wp14:anchorId="152DB2F1" wp14:editId="15367BEE">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4"/>
                          <a:stretch>
                            <a:fillRect/>
                          </a:stretch>
                        </pic:blipFill>
                        <pic:spPr>
                          <a:xfrm>
                            <a:off x="152400" y="25400"/>
                            <a:ext cx="5486400" cy="2331029"/>
                          </a:xfrm>
                          <a:prstGeom prst="rect">
                            <a:avLst/>
                          </a:prstGeom>
                        </pic:spPr>
                      </pic:pic>
                    </wpc:wpc>
                  </a:graphicData>
                </a:graphic>
              </wp:inline>
            </w:drawing>
          </mc:Choice>
          <mc:Fallback xmlns:oel="http://schemas.microsoft.com/office/2019/extlst">
            <w:pict>
              <v:group w14:anchorId="2EA60D5D" id="Canvas 71" o:spid="_x0000_s1026" editas="canvas" style="width:466pt;height:192pt;mso-position-horizontal-relative:char;mso-position-vertical-relative:line" coordsize="59182,243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82;height:24384;visibility:visible;mso-wrap-style:square" filled="t">
                  <v:fill o:detectmouseclick="t"/>
                  <v:path o:connecttype="none"/>
                </v:shape>
                <v:shape id="Picture 72" o:spid="_x0000_s1028" type="#_x0000_t75" style="position:absolute;left:1524;top:254;width:54864;height:23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r:id="rId15" o:title=""/>
                </v:shape>
                <w10:anchorlock/>
              </v:group>
            </w:pict>
          </mc:Fallback>
        </mc:AlternateContent>
      </w:r>
    </w:p>
    <w:p w14:paraId="0BBF0D3F" w14:textId="77777777" w:rsidR="00BD227B" w:rsidRDefault="00BD227B" w:rsidP="00BD227B">
      <w:pPr>
        <w:keepNext/>
        <w:spacing w:after="120"/>
        <w:ind w:left="357"/>
        <w:jc w:val="center"/>
      </w:pPr>
    </w:p>
    <w:p w14:paraId="3B6BD9D7" w14:textId="77777777" w:rsidR="00BD227B" w:rsidRDefault="00BD227B" w:rsidP="00BD227B">
      <w:pPr>
        <w:pStyle w:val="Caption"/>
        <w:jc w:val="center"/>
      </w:pPr>
      <w:bookmarkStart w:id="2" w:name="_Ref78209067"/>
      <w:r>
        <w:t xml:space="preserve">Figure </w:t>
      </w:r>
      <w:r>
        <w:fldChar w:fldCharType="begin"/>
      </w:r>
      <w:r>
        <w:instrText>SEQ Figure \* ARABIC</w:instrText>
      </w:r>
      <w:r>
        <w:fldChar w:fldCharType="separate"/>
      </w:r>
      <w:r>
        <w:rPr>
          <w:noProof/>
        </w:rPr>
        <w:t>1</w:t>
      </w:r>
      <w:r>
        <w:fldChar w:fldCharType="end"/>
      </w:r>
      <w:bookmarkEnd w:id="2"/>
      <w:r>
        <w:t xml:space="preserve"> Timing aspects of CHO mobility for NR-U</w:t>
      </w:r>
    </w:p>
    <w:p w14:paraId="4EB849A6" w14:textId="0E0AB540" w:rsidR="00BD227B" w:rsidRDefault="00BD227B" w:rsidP="00BD227B">
      <w:pPr>
        <w:spacing w:after="120"/>
        <w:rPr>
          <w:lang w:val="en-US"/>
        </w:rPr>
      </w:pPr>
    </w:p>
    <w:p w14:paraId="0EEE436B" w14:textId="3D62EC6B" w:rsidR="00BD227B" w:rsidRDefault="003F283E" w:rsidP="00BD227B">
      <w:pPr>
        <w:spacing w:after="120"/>
      </w:pPr>
      <w:r>
        <w:rPr>
          <w:lang w:val="en-US"/>
        </w:rPr>
        <w:lastRenderedPageBreak/>
        <w:t xml:space="preserve">Since the additional </w:t>
      </w:r>
      <w:r w:rsidR="00BD227B">
        <w:rPr>
          <w:lang w:val="en-US"/>
        </w:rPr>
        <w:t>LBT caused waiting times</w:t>
      </w:r>
      <w:r>
        <w:rPr>
          <w:lang w:val="en-US"/>
        </w:rPr>
        <w:t xml:space="preserve"> can spoil the handover timing</w:t>
      </w:r>
      <w:r w:rsidR="00A668A0">
        <w:rPr>
          <w:lang w:val="en-US"/>
        </w:rPr>
        <w:t>,</w:t>
      </w:r>
      <w:r w:rsidR="00BD227B">
        <w:rPr>
          <w:lang w:val="en-US"/>
        </w:rPr>
        <w:t xml:space="preserve"> </w:t>
      </w:r>
      <w:r>
        <w:t xml:space="preserve">an </w:t>
      </w:r>
      <w:r w:rsidR="00BD227B">
        <w:t xml:space="preserve">RLF could be wrongly counted as MRO-specific KPI like Too Late Handover (TLH) even though the delay that resulted in RLF was caused by LBT. </w:t>
      </w:r>
    </w:p>
    <w:p w14:paraId="659D18BD" w14:textId="77777777" w:rsidR="00BD227B" w:rsidRPr="00BD227B" w:rsidRDefault="00BD227B" w:rsidP="00BD227B">
      <w:pPr>
        <w:spacing w:after="120"/>
        <w:rPr>
          <w:b/>
          <w:bCs/>
        </w:rPr>
      </w:pPr>
      <w:r w:rsidRPr="00BD227B">
        <w:rPr>
          <w:b/>
          <w:bCs/>
        </w:rPr>
        <w:t>Observation 1: Mobility related RLFs could be wrongly added to MRO KPI statistics, if failure was induced by channel access delays due to LBT, and this miscounting would compromise the MRO procedure.</w:t>
      </w:r>
    </w:p>
    <w:p w14:paraId="40D2F2FE" w14:textId="47A99199" w:rsidR="00BD227B" w:rsidRDefault="00F35272" w:rsidP="007C75EB">
      <w:r>
        <w:t>Both the uplink (measurement reports and RACH) and downlink (</w:t>
      </w:r>
      <w:proofErr w:type="spellStart"/>
      <w:r>
        <w:t>RRCReconfiguration</w:t>
      </w:r>
      <w:proofErr w:type="spellEnd"/>
      <w:r>
        <w:t xml:space="preserve"> </w:t>
      </w:r>
      <w:proofErr w:type="spellStart"/>
      <w:r>
        <w:t>msg</w:t>
      </w:r>
      <w:proofErr w:type="spellEnd"/>
      <w:r>
        <w:t xml:space="preserve">) might suffer from delays due to LBT (which is raised in parallel in the RAN WG2 contribution). </w:t>
      </w:r>
      <w:r w:rsidR="00BD227B">
        <w:t xml:space="preserve">This </w:t>
      </w:r>
      <w:r>
        <w:t>means</w:t>
      </w:r>
      <w:r w:rsidR="00BD227B">
        <w:t xml:space="preserve"> the </w:t>
      </w:r>
      <w:r>
        <w:t xml:space="preserve">solution should be split </w:t>
      </w:r>
      <w:r w:rsidR="00BD227B">
        <w:t>into two parts:</w:t>
      </w:r>
    </w:p>
    <w:p w14:paraId="685415E5" w14:textId="7D1B5297" w:rsidR="00BD227B" w:rsidRDefault="00BD227B" w:rsidP="00BD227B">
      <w:pPr>
        <w:pStyle w:val="ListParagraph"/>
        <w:numPr>
          <w:ilvl w:val="0"/>
          <w:numId w:val="48"/>
        </w:numPr>
      </w:pPr>
      <w:r>
        <w:t xml:space="preserve">Waiting time in </w:t>
      </w:r>
      <w:proofErr w:type="gramStart"/>
      <w:r>
        <w:t>DL;</w:t>
      </w:r>
      <w:proofErr w:type="gramEnd"/>
    </w:p>
    <w:p w14:paraId="1D130108" w14:textId="6CE3AF5A" w:rsidR="00BD227B" w:rsidRDefault="00BD227B" w:rsidP="00BD227B">
      <w:pPr>
        <w:pStyle w:val="ListParagraph"/>
        <w:numPr>
          <w:ilvl w:val="0"/>
          <w:numId w:val="48"/>
        </w:numPr>
      </w:pPr>
      <w:r>
        <w:t xml:space="preserve">Waiting time in </w:t>
      </w:r>
      <w:proofErr w:type="gramStart"/>
      <w:r>
        <w:t>UL;</w:t>
      </w:r>
      <w:proofErr w:type="gramEnd"/>
    </w:p>
    <w:p w14:paraId="185D42C7" w14:textId="77777777" w:rsidR="00F35272" w:rsidRPr="00BD227B" w:rsidRDefault="00F35272" w:rsidP="00F35272">
      <w:pPr>
        <w:spacing w:after="120"/>
        <w:rPr>
          <w:b/>
          <w:bCs/>
        </w:rPr>
      </w:pPr>
      <w:r w:rsidRPr="00BD227B">
        <w:rPr>
          <w:b/>
          <w:bCs/>
        </w:rPr>
        <w:t>Observation 2: Delays due to LBT during the mobility procedure are impacting both uplink and downlink transmissions.</w:t>
      </w:r>
    </w:p>
    <w:p w14:paraId="7809D35F" w14:textId="1714A7A1" w:rsidR="00F35272" w:rsidRDefault="00F35272" w:rsidP="00F35272">
      <w:r>
        <w:t xml:space="preserve">For the DL, the waiting time may be recorded at the gNB and </w:t>
      </w:r>
      <w:r w:rsidR="00A668A0">
        <w:t xml:space="preserve">will be retrieved from root cause analysis performing entity </w:t>
      </w:r>
      <w:r>
        <w:t>when the RLF occurs.</w:t>
      </w:r>
    </w:p>
    <w:p w14:paraId="18C64602" w14:textId="59BB1005" w:rsidR="00F35272" w:rsidRPr="00F35272" w:rsidRDefault="00F35272" w:rsidP="00F35272">
      <w:pPr>
        <w:rPr>
          <w:b/>
          <w:bCs/>
        </w:rPr>
      </w:pPr>
      <w:r w:rsidRPr="00F35272">
        <w:rPr>
          <w:b/>
          <w:bCs/>
        </w:rPr>
        <w:t>Proposal 1: A gNB stores the waiting time related to a UE and includes the stored information in the network-side failure report in the case the UE suffers RLF or a HOF.</w:t>
      </w:r>
    </w:p>
    <w:p w14:paraId="706F4276" w14:textId="4AE59121" w:rsidR="00F35272" w:rsidRDefault="00F35272" w:rsidP="00F35272">
      <w:r>
        <w:t>For the UL, the information is available at the UE only. Therefore, the UE must store it and possible include it in the RLF Report provided to the network in the case of an RLF or a HOF.</w:t>
      </w:r>
    </w:p>
    <w:p w14:paraId="63FD8D81" w14:textId="6EA98030" w:rsidR="00F35272" w:rsidRPr="00F35272" w:rsidRDefault="00F35272" w:rsidP="00F35272">
      <w:pPr>
        <w:rPr>
          <w:b/>
          <w:bCs/>
        </w:rPr>
      </w:pPr>
      <w:r w:rsidRPr="00F35272">
        <w:rPr>
          <w:b/>
          <w:bCs/>
        </w:rPr>
        <w:t>Proposal 2: RAN3 asks RAN2 to enable including the waiting time in the RLF Report provided from the UE.</w:t>
      </w:r>
    </w:p>
    <w:p w14:paraId="2A6146F1" w14:textId="6101DEC9" w:rsidR="00F35272" w:rsidRDefault="00F35272" w:rsidP="00F35272">
      <w:pPr>
        <w:spacing w:after="120"/>
      </w:pPr>
      <w:r>
        <w:t xml:space="preserve">Eventually, the instance performing the root cause analysis in the gNB being responsible for problem will have to take into account in the root cause analysis both, the DL and the UL </w:t>
      </w:r>
      <w:r w:rsidR="00AA22E4">
        <w:t xml:space="preserve">LBT caused </w:t>
      </w:r>
      <w:r>
        <w:t>waiting times</w:t>
      </w:r>
      <w:r w:rsidR="00AA22E4">
        <w:t xml:space="preserve"> related to the mobility process messages</w:t>
      </w:r>
      <w:r>
        <w:t>. The final decision about the reason behind the issues of the mobility procedure can be only derived when all waiting time periods (uplink and downlink) are taken into account. The retrieval of the downlink part might require inter-node communication, when the analysing gNB is different from the one who holds the information about downlink waiting time.</w:t>
      </w:r>
    </w:p>
    <w:p w14:paraId="747C8E75" w14:textId="54F126DA" w:rsidR="00F35272" w:rsidRPr="003F2210" w:rsidRDefault="003F2210" w:rsidP="00BD227B">
      <w:pPr>
        <w:rPr>
          <w:b/>
          <w:bCs/>
          <w:lang w:val="en-US"/>
        </w:rPr>
      </w:pPr>
      <w:r w:rsidRPr="003F2210">
        <w:rPr>
          <w:b/>
          <w:bCs/>
          <w:lang w:val="en-US"/>
        </w:rPr>
        <w:t>Proposal 3: Definitions of the MRO problems for NR-U may need to consider the waiting time to exclude events that are not related to mobility.</w:t>
      </w:r>
    </w:p>
    <w:p w14:paraId="28E42E52" w14:textId="77777777" w:rsidR="000F16C4" w:rsidRPr="000665EA" w:rsidRDefault="00CD2620" w:rsidP="00E00CEF">
      <w:pPr>
        <w:pStyle w:val="Heading1"/>
      </w:pPr>
      <w:r w:rsidRPr="000665EA">
        <w:t>3</w:t>
      </w:r>
      <w:r w:rsidR="000F16C4" w:rsidRPr="000665EA">
        <w:tab/>
      </w:r>
      <w:r w:rsidRPr="000665EA">
        <w:t>Conclusions</w:t>
      </w:r>
    </w:p>
    <w:p w14:paraId="707A612C" w14:textId="4B813C74" w:rsidR="00B0692D" w:rsidRDefault="002F4257" w:rsidP="002424B8">
      <w:pPr>
        <w:jc w:val="both"/>
        <w:rPr>
          <w:bCs/>
        </w:rPr>
      </w:pPr>
      <w:r>
        <w:rPr>
          <w:bCs/>
        </w:rPr>
        <w:t xml:space="preserve">In this paper, </w:t>
      </w:r>
      <w:r w:rsidR="00E91D50">
        <w:rPr>
          <w:bCs/>
        </w:rPr>
        <w:t>first, we remind the problem of the possible impact of the waiting time on MRO analysis:</w:t>
      </w:r>
    </w:p>
    <w:p w14:paraId="5D304C36" w14:textId="77777777" w:rsidR="0026328C" w:rsidRPr="0026328C" w:rsidRDefault="0026328C" w:rsidP="0026328C">
      <w:pPr>
        <w:ind w:left="284"/>
        <w:jc w:val="both"/>
        <w:rPr>
          <w:bCs/>
        </w:rPr>
      </w:pPr>
      <w:r w:rsidRPr="0026328C">
        <w:rPr>
          <w:bCs/>
        </w:rPr>
        <w:t>Observation 1: Mobility related RLFs could be wrongly added to MRO KPI statistics, if failure was induced by channel access delays due to LBT, and this miscounting would compromise the MRO procedure.</w:t>
      </w:r>
    </w:p>
    <w:p w14:paraId="20E8A79C" w14:textId="77777777" w:rsidR="0026328C" w:rsidRPr="0026328C" w:rsidRDefault="0026328C" w:rsidP="0026328C">
      <w:pPr>
        <w:ind w:left="284"/>
        <w:jc w:val="both"/>
        <w:rPr>
          <w:bCs/>
        </w:rPr>
      </w:pPr>
      <w:r w:rsidRPr="0026328C">
        <w:rPr>
          <w:bCs/>
        </w:rPr>
        <w:t>Observation 2: Delays due to LBT during the mobility procedure are impacting both uplink and downlink transmissions.</w:t>
      </w:r>
    </w:p>
    <w:p w14:paraId="1872C60B" w14:textId="77777777" w:rsidR="0026328C" w:rsidRPr="0026328C" w:rsidRDefault="0026328C" w:rsidP="0026328C">
      <w:pPr>
        <w:ind w:left="284"/>
        <w:jc w:val="both"/>
        <w:rPr>
          <w:bCs/>
        </w:rPr>
      </w:pPr>
      <w:r w:rsidRPr="0026328C">
        <w:rPr>
          <w:bCs/>
        </w:rPr>
        <w:t>Proposal 1: A gNB stores the waiting time related to a UE and includes the stored information in the network-side failure report in the case the UE suffers RLF or a HOF.</w:t>
      </w:r>
    </w:p>
    <w:p w14:paraId="06245A95" w14:textId="77777777" w:rsidR="0026328C" w:rsidRPr="0026328C" w:rsidRDefault="0026328C" w:rsidP="0026328C">
      <w:pPr>
        <w:ind w:left="284"/>
        <w:jc w:val="both"/>
        <w:rPr>
          <w:bCs/>
        </w:rPr>
      </w:pPr>
      <w:r w:rsidRPr="0026328C">
        <w:rPr>
          <w:bCs/>
        </w:rPr>
        <w:t>Proposal 2: RAN3 asks RAN2 to enable including the waiting time in the RLF Report provided from the UE.</w:t>
      </w:r>
    </w:p>
    <w:p w14:paraId="37F90429" w14:textId="3BB3BDA7" w:rsidR="00E91D50" w:rsidRDefault="0026328C" w:rsidP="0026328C">
      <w:pPr>
        <w:ind w:left="284"/>
        <w:jc w:val="both"/>
        <w:rPr>
          <w:bCs/>
        </w:rPr>
      </w:pPr>
      <w:r w:rsidRPr="0026328C">
        <w:rPr>
          <w:bCs/>
        </w:rPr>
        <w:t>Proposal 3: Definitions of the MRO problems for NR-U may need to consider the waiting time to exclude events that are not related to mobility.</w:t>
      </w:r>
    </w:p>
    <w:p w14:paraId="65D18607" w14:textId="3022EC54" w:rsidR="00042B69" w:rsidRDefault="00042B69" w:rsidP="002424B8">
      <w:pPr>
        <w:jc w:val="both"/>
        <w:rPr>
          <w:bCs/>
        </w:rPr>
      </w:pPr>
      <w:r>
        <w:rPr>
          <w:bCs/>
        </w:rPr>
        <w:t xml:space="preserve">A draft of an LS related to this has originally </w:t>
      </w:r>
      <w:r w:rsidR="004F5D2D">
        <w:rPr>
          <w:bCs/>
        </w:rPr>
        <w:t xml:space="preserve">is </w:t>
      </w:r>
      <w:r>
        <w:rPr>
          <w:bCs/>
        </w:rPr>
        <w:t>proposed in</w:t>
      </w:r>
      <w:r w:rsidR="004F5D2D">
        <w:rPr>
          <w:bCs/>
        </w:rPr>
        <w:t xml:space="preserve"> an Annex below</w:t>
      </w:r>
      <w:r>
        <w:rPr>
          <w:bCs/>
        </w:rPr>
        <w:t>.</w:t>
      </w:r>
    </w:p>
    <w:p w14:paraId="18D95744" w14:textId="65E13159" w:rsidR="002F43B3" w:rsidRPr="000665EA" w:rsidRDefault="002F43B3" w:rsidP="002F43B3">
      <w:pPr>
        <w:pStyle w:val="Heading1"/>
      </w:pPr>
      <w:r>
        <w:t>References</w:t>
      </w:r>
    </w:p>
    <w:p w14:paraId="5F32291B" w14:textId="602F8148" w:rsidR="00042B69" w:rsidRDefault="002F43B3" w:rsidP="004F5D2D">
      <w:pPr>
        <w:pStyle w:val="ListParagraph"/>
        <w:numPr>
          <w:ilvl w:val="0"/>
          <w:numId w:val="47"/>
        </w:numPr>
        <w:jc w:val="both"/>
        <w:rPr>
          <w:bCs/>
        </w:rPr>
      </w:pPr>
      <w:r>
        <w:rPr>
          <w:bCs/>
        </w:rPr>
        <w:t>R3-224390, RAN3 #117</w:t>
      </w:r>
    </w:p>
    <w:p w14:paraId="541E785B" w14:textId="46326932" w:rsidR="004F5D2D" w:rsidRPr="000665EA" w:rsidRDefault="004F5D2D" w:rsidP="004F5D2D">
      <w:pPr>
        <w:pStyle w:val="Heading1"/>
      </w:pPr>
      <w:r>
        <w:lastRenderedPageBreak/>
        <w:t>Annex 1 – draft LS to RAN2</w:t>
      </w:r>
    </w:p>
    <w:p w14:paraId="1DA1DA8A" w14:textId="77777777" w:rsidR="00721CA1" w:rsidRPr="00721CA1" w:rsidRDefault="00721CA1" w:rsidP="00721CA1">
      <w:pPr>
        <w:tabs>
          <w:tab w:val="center" w:pos="4153"/>
          <w:tab w:val="right" w:pos="7088"/>
          <w:tab w:val="right" w:pos="9781"/>
        </w:tabs>
        <w:spacing w:after="0"/>
        <w:rPr>
          <w:rFonts w:ascii="Arial" w:eastAsia="Times New Roman" w:hAnsi="Arial" w:cs="Arial"/>
          <w:b/>
          <w:bCs/>
          <w:sz w:val="22"/>
        </w:rPr>
      </w:pPr>
      <w:r w:rsidRPr="00721CA1">
        <w:rPr>
          <w:rFonts w:ascii="Arial" w:eastAsia="Times New Roman" w:hAnsi="Arial" w:cs="Arial"/>
          <w:b/>
          <w:bCs/>
          <w:sz w:val="22"/>
        </w:rPr>
        <w:t>3GPP TSG-RAN WG2 #119</w:t>
      </w:r>
      <w:r w:rsidRPr="00721CA1">
        <w:rPr>
          <w:rFonts w:ascii="Arial" w:eastAsia="Times New Roman" w:hAnsi="Arial" w:cs="Arial"/>
          <w:b/>
          <w:bCs/>
          <w:sz w:val="22"/>
        </w:rPr>
        <w:tab/>
      </w:r>
      <w:r w:rsidRPr="00721CA1">
        <w:rPr>
          <w:rFonts w:ascii="Arial" w:eastAsia="Times New Roman" w:hAnsi="Arial" w:cs="Arial"/>
          <w:b/>
          <w:bCs/>
          <w:sz w:val="22"/>
        </w:rPr>
        <w:tab/>
      </w:r>
      <w:r w:rsidRPr="00721CA1">
        <w:rPr>
          <w:rFonts w:ascii="Arial" w:eastAsia="Times New Roman" w:hAnsi="Arial" w:cs="Arial"/>
          <w:b/>
          <w:bCs/>
          <w:sz w:val="22"/>
        </w:rPr>
        <w:tab/>
        <w:t>R3-23xxxx</w:t>
      </w:r>
    </w:p>
    <w:p w14:paraId="6549A571" w14:textId="77777777" w:rsidR="00721CA1" w:rsidRPr="00721CA1" w:rsidRDefault="00721CA1" w:rsidP="00721CA1">
      <w:pPr>
        <w:tabs>
          <w:tab w:val="center" w:pos="4153"/>
          <w:tab w:val="right" w:pos="9639"/>
        </w:tabs>
        <w:spacing w:after="0"/>
        <w:rPr>
          <w:rFonts w:ascii="Arial" w:eastAsia="Times New Roman" w:hAnsi="Arial" w:cs="Arial"/>
          <w:b/>
          <w:bCs/>
          <w:sz w:val="22"/>
        </w:rPr>
      </w:pPr>
      <w:r w:rsidRPr="00721CA1">
        <w:rPr>
          <w:rFonts w:ascii="Arial" w:eastAsia="Times New Roman" w:hAnsi="Arial" w:cs="Arial"/>
          <w:b/>
          <w:bCs/>
          <w:sz w:val="22"/>
        </w:rPr>
        <w:t>Athens, Greece, EU, 27 Feb – 3 Mar 2023</w:t>
      </w:r>
    </w:p>
    <w:p w14:paraId="555CBA90" w14:textId="77777777" w:rsidR="00721CA1" w:rsidRPr="00721CA1" w:rsidRDefault="00721CA1" w:rsidP="00721CA1">
      <w:pPr>
        <w:spacing w:after="0"/>
        <w:rPr>
          <w:rFonts w:ascii="Arial" w:eastAsia="Times New Roman" w:hAnsi="Arial" w:cs="Arial"/>
        </w:rPr>
      </w:pPr>
    </w:p>
    <w:p w14:paraId="616E1056"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Title:</w:t>
      </w:r>
      <w:r w:rsidRPr="00721CA1">
        <w:rPr>
          <w:rFonts w:ascii="Arial" w:eastAsia="Times New Roman" w:hAnsi="Arial" w:cs="Arial"/>
          <w:b/>
        </w:rPr>
        <w:tab/>
      </w:r>
      <w:r w:rsidRPr="00721CA1">
        <w:rPr>
          <w:rFonts w:ascii="Arial" w:eastAsia="Times New Roman" w:hAnsi="Arial" w:cs="Arial"/>
          <w:b/>
          <w:color w:val="FF0000"/>
        </w:rPr>
        <w:t>[draft]</w:t>
      </w:r>
      <w:r w:rsidRPr="00721CA1">
        <w:rPr>
          <w:rFonts w:ascii="Arial" w:eastAsia="Times New Roman" w:hAnsi="Arial" w:cs="Arial"/>
          <w:b/>
        </w:rPr>
        <w:t xml:space="preserve"> </w:t>
      </w:r>
      <w:r w:rsidRPr="00721CA1">
        <w:rPr>
          <w:rFonts w:ascii="Arial" w:eastAsia="Times New Roman" w:hAnsi="Arial" w:cs="Arial"/>
          <w:bCs/>
        </w:rPr>
        <w:t>LS on MRO for NR-U</w:t>
      </w:r>
    </w:p>
    <w:p w14:paraId="56758DE8"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Response to:</w:t>
      </w:r>
      <w:r w:rsidRPr="00721CA1">
        <w:rPr>
          <w:rFonts w:ascii="Arial" w:eastAsia="Times New Roman" w:hAnsi="Arial" w:cs="Arial"/>
          <w:b/>
        </w:rPr>
        <w:tab/>
      </w:r>
      <w:r w:rsidRPr="00721CA1">
        <w:rPr>
          <w:rFonts w:ascii="Arial" w:eastAsia="Times New Roman" w:hAnsi="Arial" w:cs="Arial"/>
          <w:bCs/>
        </w:rPr>
        <w:t>---</w:t>
      </w:r>
    </w:p>
    <w:p w14:paraId="76D1CEE0"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Release:</w:t>
      </w:r>
      <w:r w:rsidRPr="00721CA1">
        <w:rPr>
          <w:rFonts w:ascii="Arial" w:eastAsia="Times New Roman" w:hAnsi="Arial" w:cs="Arial"/>
          <w:b/>
        </w:rPr>
        <w:tab/>
      </w:r>
      <w:r w:rsidRPr="00721CA1">
        <w:rPr>
          <w:rFonts w:ascii="Arial" w:eastAsia="Times New Roman" w:hAnsi="Arial" w:cs="Arial"/>
          <w:bCs/>
        </w:rPr>
        <w:t>Rel-18</w:t>
      </w:r>
    </w:p>
    <w:p w14:paraId="69FA6028"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Work Item:</w:t>
      </w:r>
      <w:r w:rsidRPr="00721CA1">
        <w:rPr>
          <w:rFonts w:ascii="Arial" w:eastAsia="Times New Roman" w:hAnsi="Arial" w:cs="Arial"/>
          <w:b/>
        </w:rPr>
        <w:tab/>
      </w:r>
      <w:r w:rsidRPr="00721CA1">
        <w:rPr>
          <w:rFonts w:ascii="Arial" w:eastAsia="Times New Roman" w:hAnsi="Arial" w:cs="Arial"/>
          <w:bCs/>
        </w:rPr>
        <w:t>NR_ENDC_SON_MDT_enh2-Core</w:t>
      </w:r>
    </w:p>
    <w:p w14:paraId="4547D73E" w14:textId="77777777" w:rsidR="00721CA1" w:rsidRPr="00721CA1" w:rsidRDefault="00721CA1" w:rsidP="00721CA1">
      <w:pPr>
        <w:spacing w:after="60"/>
        <w:ind w:left="1985" w:hanging="1985"/>
        <w:rPr>
          <w:rFonts w:ascii="Arial" w:eastAsia="Times New Roman" w:hAnsi="Arial" w:cs="Arial"/>
          <w:b/>
        </w:rPr>
      </w:pPr>
    </w:p>
    <w:p w14:paraId="701930E6"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Source:</w:t>
      </w:r>
      <w:r w:rsidRPr="00721CA1">
        <w:rPr>
          <w:rFonts w:ascii="Arial" w:eastAsia="Times New Roman" w:hAnsi="Arial" w:cs="Arial"/>
          <w:b/>
        </w:rPr>
        <w:tab/>
      </w:r>
      <w:r w:rsidRPr="00721CA1">
        <w:rPr>
          <w:rFonts w:ascii="Arial" w:eastAsia="Times New Roman" w:hAnsi="Arial" w:cs="Arial"/>
          <w:bCs/>
        </w:rPr>
        <w:t>Nokia, Nokia Shanghai Bell</w:t>
      </w:r>
      <w:r w:rsidRPr="00721CA1">
        <w:rPr>
          <w:rFonts w:ascii="Arial" w:eastAsia="Times New Roman" w:hAnsi="Arial" w:cs="Arial"/>
          <w:b/>
        </w:rPr>
        <w:t xml:space="preserve"> </w:t>
      </w:r>
      <w:r w:rsidRPr="00721CA1">
        <w:rPr>
          <w:rFonts w:ascii="Arial" w:eastAsia="Times New Roman" w:hAnsi="Arial" w:cs="Arial"/>
          <w:bCs/>
          <w:color w:val="FF0000"/>
        </w:rPr>
        <w:t>[to be</w:t>
      </w:r>
      <w:r w:rsidRPr="00721CA1">
        <w:rPr>
          <w:rFonts w:ascii="Arial" w:eastAsia="Times New Roman" w:hAnsi="Arial" w:cs="Arial"/>
          <w:b/>
          <w:color w:val="FF0000"/>
        </w:rPr>
        <w:t xml:space="preserve"> </w:t>
      </w:r>
      <w:r w:rsidRPr="00721CA1">
        <w:rPr>
          <w:rFonts w:ascii="Arial" w:eastAsia="Times New Roman" w:hAnsi="Arial" w:cs="Arial"/>
          <w:bCs/>
          <w:color w:val="FF0000"/>
        </w:rPr>
        <w:t>RAN3]</w:t>
      </w:r>
    </w:p>
    <w:p w14:paraId="1175DD6C"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To:</w:t>
      </w:r>
      <w:r w:rsidRPr="00721CA1">
        <w:rPr>
          <w:rFonts w:ascii="Arial" w:eastAsia="Times New Roman" w:hAnsi="Arial" w:cs="Arial"/>
          <w:b/>
        </w:rPr>
        <w:tab/>
      </w:r>
      <w:r w:rsidRPr="00721CA1">
        <w:rPr>
          <w:rFonts w:ascii="Arial" w:eastAsia="Times New Roman" w:hAnsi="Arial" w:cs="Arial"/>
          <w:bCs/>
        </w:rPr>
        <w:t>RAN2</w:t>
      </w:r>
    </w:p>
    <w:p w14:paraId="71BC2111"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Cc:</w:t>
      </w:r>
      <w:r w:rsidRPr="00721CA1">
        <w:rPr>
          <w:rFonts w:ascii="Arial" w:eastAsia="Times New Roman" w:hAnsi="Arial" w:cs="Arial"/>
          <w:bCs/>
        </w:rPr>
        <w:tab/>
        <w:t>—</w:t>
      </w:r>
    </w:p>
    <w:p w14:paraId="594D8927" w14:textId="77777777" w:rsidR="00721CA1" w:rsidRPr="00721CA1" w:rsidRDefault="00721CA1" w:rsidP="00721CA1">
      <w:pPr>
        <w:spacing w:after="60"/>
        <w:ind w:left="1985" w:hanging="1985"/>
        <w:rPr>
          <w:rFonts w:ascii="Arial" w:eastAsia="Times New Roman" w:hAnsi="Arial" w:cs="Arial"/>
          <w:bCs/>
        </w:rPr>
      </w:pPr>
    </w:p>
    <w:p w14:paraId="0E93804D" w14:textId="77777777" w:rsidR="00721CA1" w:rsidRPr="00721CA1" w:rsidRDefault="00721CA1" w:rsidP="00721CA1">
      <w:pPr>
        <w:tabs>
          <w:tab w:val="left" w:pos="2268"/>
        </w:tabs>
        <w:spacing w:after="0"/>
        <w:rPr>
          <w:rFonts w:ascii="Arial" w:eastAsia="Times New Roman" w:hAnsi="Arial" w:cs="Arial"/>
          <w:bCs/>
        </w:rPr>
      </w:pPr>
      <w:r w:rsidRPr="00721CA1">
        <w:rPr>
          <w:rFonts w:ascii="Arial" w:eastAsia="Times New Roman" w:hAnsi="Arial" w:cs="Arial"/>
          <w:b/>
        </w:rPr>
        <w:t>Contact Person:</w:t>
      </w:r>
      <w:r w:rsidRPr="00721CA1">
        <w:rPr>
          <w:rFonts w:ascii="Arial" w:eastAsia="Times New Roman" w:hAnsi="Arial" w:cs="Arial"/>
          <w:bCs/>
        </w:rPr>
        <w:tab/>
      </w:r>
    </w:p>
    <w:p w14:paraId="4BADC95D" w14:textId="77777777" w:rsidR="00721CA1" w:rsidRPr="00721CA1" w:rsidRDefault="00721CA1" w:rsidP="00721CA1">
      <w:pPr>
        <w:keepNext/>
        <w:tabs>
          <w:tab w:val="left" w:pos="2268"/>
          <w:tab w:val="left" w:pos="2694"/>
        </w:tabs>
        <w:spacing w:after="0"/>
        <w:ind w:left="567"/>
        <w:outlineLvl w:val="3"/>
        <w:rPr>
          <w:rFonts w:ascii="Arial" w:eastAsia="Times New Roman" w:hAnsi="Arial" w:cs="Arial"/>
          <w:bCs/>
          <w:lang w:val="pl-PL"/>
        </w:rPr>
      </w:pPr>
      <w:proofErr w:type="spellStart"/>
      <w:r w:rsidRPr="00721CA1">
        <w:rPr>
          <w:rFonts w:ascii="Arial" w:eastAsia="Times New Roman" w:hAnsi="Arial" w:cs="Arial"/>
          <w:b/>
          <w:lang w:val="pl-PL"/>
        </w:rPr>
        <w:t>Name</w:t>
      </w:r>
      <w:proofErr w:type="spellEnd"/>
      <w:proofErr w:type="gramStart"/>
      <w:r w:rsidRPr="00721CA1">
        <w:rPr>
          <w:rFonts w:ascii="Arial" w:eastAsia="Times New Roman" w:hAnsi="Arial" w:cs="Arial"/>
          <w:b/>
          <w:lang w:val="pl-PL"/>
        </w:rPr>
        <w:t>:</w:t>
      </w:r>
      <w:r w:rsidRPr="00721CA1">
        <w:rPr>
          <w:rFonts w:ascii="Arial" w:eastAsia="Times New Roman" w:hAnsi="Arial" w:cs="Arial"/>
          <w:bCs/>
          <w:lang w:val="pl-PL"/>
        </w:rPr>
        <w:tab/>
        <w:t>Krzysztof</w:t>
      </w:r>
      <w:proofErr w:type="gramEnd"/>
      <w:r w:rsidRPr="00721CA1">
        <w:rPr>
          <w:rFonts w:ascii="Arial" w:eastAsia="Times New Roman" w:hAnsi="Arial" w:cs="Arial"/>
          <w:bCs/>
          <w:lang w:val="pl-PL"/>
        </w:rPr>
        <w:t xml:space="preserve"> Kordybach</w:t>
      </w:r>
    </w:p>
    <w:p w14:paraId="6512C1E2" w14:textId="77777777" w:rsidR="00721CA1" w:rsidRPr="00721CA1" w:rsidRDefault="00721CA1" w:rsidP="00721CA1">
      <w:pPr>
        <w:keepNext/>
        <w:tabs>
          <w:tab w:val="left" w:pos="2268"/>
          <w:tab w:val="left" w:pos="2694"/>
        </w:tabs>
        <w:spacing w:after="0"/>
        <w:ind w:left="567"/>
        <w:outlineLvl w:val="6"/>
        <w:rPr>
          <w:rFonts w:ascii="Arial" w:eastAsia="Times New Roman" w:hAnsi="Arial" w:cs="Arial"/>
          <w:bCs/>
          <w:lang w:val="pl-PL"/>
        </w:rPr>
      </w:pPr>
      <w:r w:rsidRPr="00721CA1">
        <w:rPr>
          <w:rFonts w:ascii="Arial" w:eastAsia="Times New Roman" w:hAnsi="Arial" w:cs="Arial"/>
          <w:b/>
          <w:lang w:val="pl-PL"/>
        </w:rPr>
        <w:t xml:space="preserve">E-mail </w:t>
      </w:r>
      <w:proofErr w:type="spellStart"/>
      <w:r w:rsidRPr="00721CA1">
        <w:rPr>
          <w:rFonts w:ascii="Arial" w:eastAsia="Times New Roman" w:hAnsi="Arial" w:cs="Arial"/>
          <w:b/>
          <w:lang w:val="pl-PL"/>
        </w:rPr>
        <w:t>Address</w:t>
      </w:r>
      <w:proofErr w:type="spellEnd"/>
      <w:proofErr w:type="gramStart"/>
      <w:r w:rsidRPr="00721CA1">
        <w:rPr>
          <w:rFonts w:ascii="Arial" w:eastAsia="Times New Roman" w:hAnsi="Arial" w:cs="Arial"/>
          <w:b/>
          <w:lang w:val="pl-PL"/>
        </w:rPr>
        <w:t>:</w:t>
      </w:r>
      <w:r w:rsidRPr="00721CA1">
        <w:rPr>
          <w:rFonts w:ascii="Arial" w:eastAsia="Times New Roman" w:hAnsi="Arial" w:cs="Arial"/>
          <w:bCs/>
          <w:lang w:val="pl-PL"/>
        </w:rPr>
        <w:tab/>
        <w:t>krzysztof</w:t>
      </w:r>
      <w:proofErr w:type="gramEnd"/>
      <w:r w:rsidRPr="00721CA1">
        <w:rPr>
          <w:rFonts w:ascii="Arial" w:eastAsia="Times New Roman" w:hAnsi="Arial" w:cs="Arial"/>
          <w:bCs/>
          <w:lang w:val="pl-PL"/>
        </w:rPr>
        <w:t>.</w:t>
      </w:r>
      <w:proofErr w:type="gramStart"/>
      <w:r w:rsidRPr="00721CA1">
        <w:rPr>
          <w:rFonts w:ascii="Arial" w:eastAsia="Times New Roman" w:hAnsi="Arial" w:cs="Arial"/>
          <w:bCs/>
          <w:lang w:val="pl-PL"/>
        </w:rPr>
        <w:t>kordybach</w:t>
      </w:r>
      <w:proofErr w:type="gramEnd"/>
      <w:r w:rsidRPr="00721CA1">
        <w:rPr>
          <w:rFonts w:ascii="Arial" w:eastAsia="Times New Roman" w:hAnsi="Arial" w:cs="Arial"/>
          <w:bCs/>
          <w:lang w:val="pl-PL"/>
        </w:rPr>
        <w:t>@nokia.</w:t>
      </w:r>
      <w:proofErr w:type="gramStart"/>
      <w:r w:rsidRPr="00721CA1">
        <w:rPr>
          <w:rFonts w:ascii="Arial" w:eastAsia="Times New Roman" w:hAnsi="Arial" w:cs="Arial"/>
          <w:bCs/>
          <w:lang w:val="pl-PL"/>
        </w:rPr>
        <w:t>com</w:t>
      </w:r>
      <w:proofErr w:type="gramEnd"/>
    </w:p>
    <w:p w14:paraId="1BA4F7C9" w14:textId="77777777" w:rsidR="00721CA1" w:rsidRPr="00721CA1" w:rsidRDefault="00721CA1" w:rsidP="00721CA1">
      <w:pPr>
        <w:spacing w:after="60"/>
        <w:ind w:left="1985" w:hanging="1985"/>
        <w:rPr>
          <w:rFonts w:ascii="Arial" w:eastAsia="Times New Roman" w:hAnsi="Arial" w:cs="Arial"/>
          <w:b/>
          <w:lang w:val="pl-PL"/>
        </w:rPr>
      </w:pPr>
    </w:p>
    <w:p w14:paraId="22C29717"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Attachments:</w:t>
      </w:r>
      <w:r w:rsidRPr="00721CA1">
        <w:rPr>
          <w:rFonts w:ascii="Arial" w:eastAsia="Times New Roman" w:hAnsi="Arial" w:cs="Arial"/>
          <w:b/>
        </w:rPr>
        <w:tab/>
        <w:t>---</w:t>
      </w:r>
    </w:p>
    <w:p w14:paraId="1E2B0242" w14:textId="77777777" w:rsidR="00721CA1" w:rsidRPr="00721CA1" w:rsidRDefault="00721CA1" w:rsidP="00721CA1">
      <w:pPr>
        <w:pBdr>
          <w:bottom w:val="single" w:sz="4" w:space="1" w:color="auto"/>
        </w:pBdr>
        <w:spacing w:after="0"/>
        <w:rPr>
          <w:rFonts w:ascii="Arial" w:eastAsia="Times New Roman" w:hAnsi="Arial" w:cs="Arial"/>
        </w:rPr>
      </w:pPr>
    </w:p>
    <w:p w14:paraId="73025A97" w14:textId="77777777" w:rsidR="00721CA1" w:rsidRPr="00721CA1" w:rsidRDefault="00721CA1" w:rsidP="00721CA1">
      <w:pPr>
        <w:spacing w:after="0"/>
        <w:rPr>
          <w:rFonts w:ascii="Arial" w:eastAsia="Times New Roman" w:hAnsi="Arial" w:cs="Arial"/>
        </w:rPr>
      </w:pPr>
    </w:p>
    <w:p w14:paraId="3C5A5109"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1. Overall Description:</w:t>
      </w:r>
    </w:p>
    <w:p w14:paraId="6FE39B9C" w14:textId="77777777" w:rsidR="00721CA1" w:rsidRPr="00721CA1" w:rsidRDefault="00721CA1" w:rsidP="00721CA1">
      <w:pPr>
        <w:spacing w:after="0"/>
        <w:rPr>
          <w:rFonts w:ascii="Arial" w:eastAsia="Times New Roman" w:hAnsi="Arial" w:cs="Arial"/>
        </w:rPr>
      </w:pPr>
    </w:p>
    <w:p w14:paraId="09D5AB9B" w14:textId="77777777" w:rsidR="00721CA1" w:rsidRPr="00721CA1" w:rsidRDefault="00721CA1" w:rsidP="00721CA1">
      <w:pPr>
        <w:spacing w:after="0"/>
        <w:rPr>
          <w:rFonts w:ascii="Arial" w:eastAsia="Times New Roman" w:hAnsi="Arial" w:cs="Arial"/>
        </w:rPr>
      </w:pPr>
      <w:r w:rsidRPr="00721CA1">
        <w:rPr>
          <w:rFonts w:ascii="Arial" w:eastAsia="Times New Roman" w:hAnsi="Arial" w:cs="Arial"/>
        </w:rPr>
        <w:t xml:space="preserve">Mobility Robustness Optimization (MRO) aims to optimize the handover parameters being responsible for the optimal timing of the handover process. MRO may utilize RLF reports by analysing the causes of radio link failures and handover failures. In NR-U, access in the uplink and downlink can be delayed due to LBT. The error cause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in the RLF is reported by a UE if it detects consistent uplink LBT failures. An RLF report with cause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is a clear indication that the failure does not result from handover parameter setting and, therefore, MRO would not treat it. However, in general, MRO applied in NR-U, cannot know if RLF happened due to the additional delays introduced by LBT and LBT failures which do not directly result in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or due to real mobility failures where MRO could help in NR-U also.</w:t>
      </w:r>
    </w:p>
    <w:p w14:paraId="65251D91" w14:textId="77777777" w:rsidR="00721CA1" w:rsidRPr="00721CA1" w:rsidRDefault="00721CA1" w:rsidP="00721CA1">
      <w:pPr>
        <w:spacing w:after="0"/>
        <w:rPr>
          <w:rFonts w:ascii="Arial" w:eastAsia="Times New Roman" w:hAnsi="Arial" w:cs="Arial"/>
        </w:rPr>
      </w:pPr>
    </w:p>
    <w:p w14:paraId="5BEC2FB9"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2. Actions:</w:t>
      </w:r>
    </w:p>
    <w:p w14:paraId="0EEFA334" w14:textId="77777777" w:rsidR="00721CA1" w:rsidRPr="00721CA1" w:rsidRDefault="00721CA1" w:rsidP="00721CA1">
      <w:pPr>
        <w:spacing w:after="120"/>
        <w:ind w:left="1985" w:hanging="1985"/>
        <w:rPr>
          <w:rFonts w:ascii="Arial" w:eastAsia="Times New Roman" w:hAnsi="Arial" w:cs="Arial"/>
          <w:b/>
        </w:rPr>
      </w:pPr>
      <w:r w:rsidRPr="00721CA1">
        <w:rPr>
          <w:rFonts w:ascii="Arial" w:eastAsia="Times New Roman" w:hAnsi="Arial" w:cs="Arial"/>
          <w:b/>
        </w:rPr>
        <w:t>To RAN2:</w:t>
      </w:r>
    </w:p>
    <w:p w14:paraId="1A54B0F3" w14:textId="77777777" w:rsidR="00721CA1" w:rsidRPr="00721CA1" w:rsidRDefault="00721CA1" w:rsidP="00721CA1">
      <w:pPr>
        <w:spacing w:after="120"/>
        <w:ind w:left="993" w:hanging="993"/>
        <w:rPr>
          <w:rFonts w:ascii="Arial" w:eastAsia="Times New Roman" w:hAnsi="Arial" w:cs="Arial"/>
        </w:rPr>
      </w:pPr>
      <w:r w:rsidRPr="00721CA1">
        <w:rPr>
          <w:rFonts w:ascii="Arial" w:eastAsia="Times New Roman" w:hAnsi="Arial" w:cs="Arial"/>
          <w:b/>
        </w:rPr>
        <w:t>ACTION:</w:t>
      </w:r>
      <w:r w:rsidRPr="00721CA1">
        <w:rPr>
          <w:rFonts w:ascii="Arial" w:eastAsia="Times New Roman" w:hAnsi="Arial" w:cs="Arial"/>
          <w:b/>
        </w:rPr>
        <w:tab/>
        <w:t>RAN3 kindly asks RAN2 to enable additional UE measurements in the RLF report for the purpose of improving the NR-U MRO solution: waiting time information caused by LBT related to mobility signalling and to the medium access.</w:t>
      </w:r>
    </w:p>
    <w:p w14:paraId="3E151073" w14:textId="77777777" w:rsidR="00721CA1" w:rsidRPr="00721CA1" w:rsidRDefault="00721CA1" w:rsidP="00721CA1">
      <w:pPr>
        <w:spacing w:after="120"/>
        <w:ind w:left="993" w:hanging="993"/>
        <w:rPr>
          <w:rFonts w:ascii="Arial" w:eastAsia="Times New Roman" w:hAnsi="Arial" w:cs="Arial"/>
        </w:rPr>
      </w:pPr>
    </w:p>
    <w:p w14:paraId="4924F221"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3. Date of Next RAN3 Meetings:</w:t>
      </w:r>
    </w:p>
    <w:p w14:paraId="2969BA79" w14:textId="77777777" w:rsidR="00721CA1" w:rsidRPr="00721CA1" w:rsidRDefault="00721CA1" w:rsidP="00721CA1">
      <w:pPr>
        <w:tabs>
          <w:tab w:val="left" w:pos="3119"/>
        </w:tabs>
        <w:spacing w:after="120"/>
        <w:ind w:left="2268" w:hanging="2268"/>
        <w:rPr>
          <w:rFonts w:ascii="Arial" w:eastAsia="Times New Roman" w:hAnsi="Arial" w:cs="Arial"/>
          <w:bCs/>
        </w:rPr>
      </w:pPr>
      <w:r w:rsidRPr="00721CA1">
        <w:rPr>
          <w:rFonts w:ascii="Arial" w:eastAsia="Times New Roman" w:hAnsi="Arial" w:cs="Arial"/>
          <w:bCs/>
        </w:rPr>
        <w:t>TSG-RAN3 Meeting #119-bis</w:t>
      </w:r>
      <w:r w:rsidRPr="00721CA1">
        <w:rPr>
          <w:rFonts w:ascii="Arial" w:eastAsia="Times New Roman" w:hAnsi="Arial" w:cs="Arial"/>
          <w:bCs/>
        </w:rPr>
        <w:tab/>
      </w:r>
      <w:r w:rsidRPr="00721CA1">
        <w:rPr>
          <w:rFonts w:ascii="Arial" w:eastAsia="Times New Roman" w:hAnsi="Arial" w:cs="Arial"/>
          <w:bCs/>
        </w:rPr>
        <w:tab/>
        <w:t>17 – 26 Apr 2023</w:t>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t>online</w:t>
      </w:r>
    </w:p>
    <w:p w14:paraId="58238FAB" w14:textId="77777777" w:rsidR="00721CA1" w:rsidRPr="00721CA1" w:rsidRDefault="00721CA1" w:rsidP="00721CA1">
      <w:pPr>
        <w:tabs>
          <w:tab w:val="left" w:pos="3119"/>
        </w:tabs>
        <w:spacing w:after="120"/>
        <w:ind w:left="2268" w:hanging="2268"/>
        <w:rPr>
          <w:rFonts w:ascii="Arial" w:eastAsia="Times New Roman" w:hAnsi="Arial" w:cs="Arial"/>
          <w:bCs/>
        </w:rPr>
      </w:pPr>
      <w:r w:rsidRPr="00721CA1">
        <w:rPr>
          <w:rFonts w:ascii="Arial" w:eastAsia="Times New Roman" w:hAnsi="Arial" w:cs="Arial"/>
          <w:bCs/>
        </w:rPr>
        <w:t>TSG-RAN3 Meeting #120</w:t>
      </w:r>
      <w:r w:rsidRPr="00721CA1">
        <w:rPr>
          <w:rFonts w:ascii="Arial" w:eastAsia="Times New Roman" w:hAnsi="Arial" w:cs="Arial"/>
          <w:bCs/>
        </w:rPr>
        <w:tab/>
      </w:r>
      <w:r w:rsidRPr="00721CA1">
        <w:rPr>
          <w:rFonts w:ascii="Arial" w:eastAsia="Times New Roman" w:hAnsi="Arial" w:cs="Arial"/>
          <w:bCs/>
        </w:rPr>
        <w:tab/>
        <w:t>25 – 26 May 2023</w:t>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t>Korea</w:t>
      </w:r>
    </w:p>
    <w:p w14:paraId="203EBC32" w14:textId="77777777" w:rsidR="004F5D2D" w:rsidRPr="004F5D2D" w:rsidRDefault="004F5D2D" w:rsidP="004F5D2D">
      <w:pPr>
        <w:jc w:val="both"/>
        <w:rPr>
          <w:bCs/>
        </w:rPr>
      </w:pPr>
    </w:p>
    <w:sectPr w:rsidR="004F5D2D" w:rsidRPr="004F5D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F5A9" w14:textId="77777777" w:rsidR="00BA3DCC" w:rsidRDefault="00BA3DCC">
      <w:r>
        <w:separator/>
      </w:r>
    </w:p>
  </w:endnote>
  <w:endnote w:type="continuationSeparator" w:id="0">
    <w:p w14:paraId="3FDB6B6F" w14:textId="77777777" w:rsidR="00BA3DCC" w:rsidRDefault="00BA3DCC">
      <w:r>
        <w:continuationSeparator/>
      </w:r>
    </w:p>
  </w:endnote>
  <w:endnote w:type="continuationNotice" w:id="1">
    <w:p w14:paraId="4C0F8513" w14:textId="77777777" w:rsidR="00BA3DCC" w:rsidRDefault="00BA3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E5C50" w14:textId="77777777" w:rsidR="00BA3DCC" w:rsidRDefault="00BA3DCC">
      <w:r>
        <w:separator/>
      </w:r>
    </w:p>
  </w:footnote>
  <w:footnote w:type="continuationSeparator" w:id="0">
    <w:p w14:paraId="0E943ADE" w14:textId="77777777" w:rsidR="00BA3DCC" w:rsidRDefault="00BA3DCC">
      <w:r>
        <w:continuationSeparator/>
      </w:r>
    </w:p>
  </w:footnote>
  <w:footnote w:type="continuationNotice" w:id="1">
    <w:p w14:paraId="744CA4DB" w14:textId="77777777" w:rsidR="00BA3DCC" w:rsidRDefault="00BA3D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7"/>
  </w:num>
  <w:num w:numId="3">
    <w:abstractNumId w:val="19"/>
  </w:num>
  <w:num w:numId="4">
    <w:abstractNumId w:val="9"/>
  </w:num>
  <w:num w:numId="5">
    <w:abstractNumId w:val="11"/>
  </w:num>
  <w:num w:numId="6">
    <w:abstractNumId w:val="46"/>
  </w:num>
  <w:num w:numId="7">
    <w:abstractNumId w:val="32"/>
  </w:num>
  <w:num w:numId="8">
    <w:abstractNumId w:val="20"/>
  </w:num>
  <w:num w:numId="9">
    <w:abstractNumId w:val="45"/>
  </w:num>
  <w:num w:numId="10">
    <w:abstractNumId w:val="31"/>
  </w:num>
  <w:num w:numId="11">
    <w:abstractNumId w:val="16"/>
  </w:num>
  <w:num w:numId="12">
    <w:abstractNumId w:val="40"/>
  </w:num>
  <w:num w:numId="13">
    <w:abstractNumId w:val="41"/>
  </w:num>
  <w:num w:numId="14">
    <w:abstractNumId w:val="3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34"/>
  </w:num>
  <w:num w:numId="26">
    <w:abstractNumId w:val="21"/>
  </w:num>
  <w:num w:numId="27">
    <w:abstractNumId w:val="26"/>
  </w:num>
  <w:num w:numId="28">
    <w:abstractNumId w:val="43"/>
  </w:num>
  <w:num w:numId="29">
    <w:abstractNumId w:val="44"/>
  </w:num>
  <w:num w:numId="30">
    <w:abstractNumId w:val="33"/>
  </w:num>
  <w:num w:numId="31">
    <w:abstractNumId w:val="30"/>
  </w:num>
  <w:num w:numId="32">
    <w:abstractNumId w:val="22"/>
  </w:num>
  <w:num w:numId="33">
    <w:abstractNumId w:val="35"/>
  </w:num>
  <w:num w:numId="34">
    <w:abstractNumId w:val="14"/>
  </w:num>
  <w:num w:numId="35">
    <w:abstractNumId w:val="13"/>
  </w:num>
  <w:num w:numId="36">
    <w:abstractNumId w:val="42"/>
  </w:num>
  <w:num w:numId="37">
    <w:abstractNumId w:val="27"/>
  </w:num>
  <w:num w:numId="38">
    <w:abstractNumId w:val="36"/>
  </w:num>
  <w:num w:numId="39">
    <w:abstractNumId w:val="47"/>
  </w:num>
  <w:num w:numId="40">
    <w:abstractNumId w:val="24"/>
  </w:num>
  <w:num w:numId="41">
    <w:abstractNumId w:val="18"/>
  </w:num>
  <w:num w:numId="42">
    <w:abstractNumId w:val="39"/>
  </w:num>
  <w:num w:numId="43">
    <w:abstractNumId w:val="29"/>
  </w:num>
  <w:num w:numId="44">
    <w:abstractNumId w:val="12"/>
  </w:num>
  <w:num w:numId="45">
    <w:abstractNumId w:val="15"/>
  </w:num>
  <w:num w:numId="46">
    <w:abstractNumId w:val="10"/>
  </w:num>
  <w:num w:numId="47">
    <w:abstractNumId w:val="28"/>
  </w:num>
  <w:num w:numId="4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37A"/>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727F"/>
    <w:rsid w:val="00247E55"/>
    <w:rsid w:val="002510CE"/>
    <w:rsid w:val="00252E47"/>
    <w:rsid w:val="0025393D"/>
    <w:rsid w:val="00254371"/>
    <w:rsid w:val="00254EBB"/>
    <w:rsid w:val="0025778B"/>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360A"/>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539"/>
    <w:rsid w:val="004F4CF7"/>
    <w:rsid w:val="004F536A"/>
    <w:rsid w:val="004F5D2D"/>
    <w:rsid w:val="005020E7"/>
    <w:rsid w:val="00502ACC"/>
    <w:rsid w:val="00502B46"/>
    <w:rsid w:val="00503171"/>
    <w:rsid w:val="005104C3"/>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ABC"/>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380"/>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482"/>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B7E2B"/>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9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5AIRPNAIUNRU-1156379521-3404</_dlc_DocId>
    <_dlc_DocIdUrl xmlns="71c5aaf6-e6ce-465b-b873-5148d2a4c105">
      <Url>https://nokia.sharepoint.com/sites/c5g/e2earch/_layouts/15/DocIdRedir.aspx?ID=5AIRPNAIUNRU-1156379521-3404</Url>
      <Description>5AIRPNAIUNRU-1156379521-3404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The LBT waiting time for correct NR-U MRO analysis</vt:lpstr>
    </vt:vector>
  </TitlesOfParts>
  <Company>Nokia, Nokia Shanghai Bell</Company>
  <LinksUpToDate>false</LinksUpToDate>
  <CharactersWithSpaces>6406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LBT waiting time for correct NR-U MRO analysis</dc:title>
  <dc:subject>3GPP RAN3 #119</dc:subject>
  <dc:creator>Benoist Sébire</dc:creator>
  <cp:keywords>&lt;keyword[, keyword, ]&gt;</cp:keywords>
  <dc:description/>
  <cp:lastModifiedBy>Nokia</cp:lastModifiedBy>
  <cp:revision>5</cp:revision>
  <cp:lastPrinted>2019-03-27T07:16:00Z</cp:lastPrinted>
  <dcterms:created xsi:type="dcterms:W3CDTF">2023-02-15T09:00:00Z</dcterms:created>
  <dcterms:modified xsi:type="dcterms:W3CDTF">2023-02-16T15:34:00Z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5890ffc8-a074-4f01-8373-b727c239f725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